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9C22" w14:textId="77777777" w:rsidR="00A90DED" w:rsidRDefault="00857A2B">
      <w:pPr>
        <w:pStyle w:val="Heading1"/>
        <w:spacing w:before="74" w:line="259" w:lineRule="auto"/>
        <w:ind w:left="2911" w:right="1840"/>
        <w:rPr>
          <w:u w:val="none"/>
        </w:rPr>
      </w:pPr>
      <w:bookmarkStart w:id="0" w:name="State_Bar_of_Texas,_Intellectual_Propert"/>
      <w:bookmarkEnd w:id="0"/>
      <w:r>
        <w:rPr>
          <w:u w:val="none"/>
        </w:rPr>
        <w:t>State</w:t>
      </w:r>
      <w:r>
        <w:rPr>
          <w:spacing w:val="-7"/>
          <w:u w:val="none"/>
        </w:rPr>
        <w:t xml:space="preserve"> </w:t>
      </w:r>
      <w:r>
        <w:rPr>
          <w:u w:val="none"/>
        </w:rPr>
        <w:t>Bar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Texas,</w:t>
      </w:r>
      <w:r>
        <w:rPr>
          <w:spacing w:val="-6"/>
          <w:u w:val="none"/>
        </w:rPr>
        <w:t xml:space="preserve"> </w:t>
      </w:r>
      <w:r>
        <w:rPr>
          <w:u w:val="none"/>
        </w:rPr>
        <w:t>Intellectual</w:t>
      </w:r>
      <w:r>
        <w:rPr>
          <w:spacing w:val="-6"/>
          <w:u w:val="none"/>
        </w:rPr>
        <w:t xml:space="preserve"> </w:t>
      </w:r>
      <w:r>
        <w:rPr>
          <w:u w:val="none"/>
        </w:rPr>
        <w:t>Property</w:t>
      </w:r>
      <w:r>
        <w:rPr>
          <w:spacing w:val="-6"/>
          <w:u w:val="none"/>
        </w:rPr>
        <w:t xml:space="preserve"> </w:t>
      </w:r>
      <w:r>
        <w:rPr>
          <w:u w:val="none"/>
        </w:rPr>
        <w:t>Law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Section </w:t>
      </w:r>
      <w:r>
        <w:rPr>
          <w:u w:val="thick"/>
        </w:rPr>
        <w:t>Tom Arnold Lifetime Achievement Award</w:t>
      </w:r>
    </w:p>
    <w:p w14:paraId="0A719C23" w14:textId="77777777" w:rsidR="00A90DED" w:rsidRDefault="00A90DED">
      <w:pPr>
        <w:pStyle w:val="BodyText"/>
        <w:spacing w:before="40"/>
        <w:ind w:left="0"/>
        <w:rPr>
          <w:b/>
        </w:rPr>
      </w:pPr>
    </w:p>
    <w:p w14:paraId="0A719C24" w14:textId="6FA98EDF" w:rsidR="00A90DED" w:rsidRDefault="00857A2B">
      <w:pPr>
        <w:pStyle w:val="BodyText"/>
        <w:spacing w:line="278" w:lineRule="auto"/>
        <w:ind w:left="350" w:right="313" w:firstLine="720"/>
        <w:jc w:val="both"/>
      </w:pPr>
      <w:r>
        <w:t>The Recipient of the 202</w:t>
      </w:r>
      <w:r w:rsidR="00C72260">
        <w:t>6</w:t>
      </w:r>
      <w:r>
        <w:t xml:space="preserve"> Tom Arnold Lifetime Achievement Award will be recognized at the State Bar of Texas IP Law Section Annual Meeting in </w:t>
      </w:r>
      <w:r w:rsidR="00C72260">
        <w:t>Houston</w:t>
      </w:r>
      <w:r>
        <w:t xml:space="preserve"> on June 1</w:t>
      </w:r>
      <w:r w:rsidR="00C72260">
        <w:t>2</w:t>
      </w:r>
      <w:r>
        <w:t>, 202</w:t>
      </w:r>
      <w:r w:rsidR="00C72260">
        <w:t>6</w:t>
      </w:r>
      <w:r>
        <w:t>. The Lifetime Achievement Award Committee will select the Recipient using the following criteria:</w:t>
      </w:r>
    </w:p>
    <w:p w14:paraId="0A719C25" w14:textId="77777777" w:rsidR="00A90DED" w:rsidRDefault="00857A2B">
      <w:pPr>
        <w:pStyle w:val="ListParagraph"/>
        <w:numPr>
          <w:ilvl w:val="0"/>
          <w:numId w:val="2"/>
        </w:numPr>
        <w:tabs>
          <w:tab w:val="left" w:pos="1070"/>
        </w:tabs>
        <w:spacing w:before="191" w:line="271" w:lineRule="auto"/>
        <w:ind w:right="7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Recipient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practiced</w:t>
      </w:r>
      <w:r>
        <w:rPr>
          <w:spacing w:val="-4"/>
          <w:sz w:val="24"/>
        </w:rPr>
        <w:t xml:space="preserve"> </w:t>
      </w:r>
      <w:r>
        <w:rPr>
          <w:sz w:val="24"/>
        </w:rPr>
        <w:t>law,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 property law, for a minimum of 25 years.</w:t>
      </w:r>
    </w:p>
    <w:p w14:paraId="0A719C26" w14:textId="77777777" w:rsidR="00A90DED" w:rsidRDefault="00857A2B">
      <w:pPr>
        <w:pStyle w:val="ListParagraph"/>
        <w:numPr>
          <w:ilvl w:val="0"/>
          <w:numId w:val="2"/>
        </w:numPr>
        <w:tabs>
          <w:tab w:val="left" w:pos="1070"/>
        </w:tabs>
        <w:spacing w:line="268" w:lineRule="auto"/>
        <w:ind w:right="60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Recipient’s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3"/>
          <w:sz w:val="24"/>
        </w:rPr>
        <w:t xml:space="preserve"> </w:t>
      </w:r>
      <w:r>
        <w:rPr>
          <w:sz w:val="24"/>
        </w:rPr>
        <w:t>property law practice in Texas.</w:t>
      </w:r>
    </w:p>
    <w:p w14:paraId="0A719C27" w14:textId="77777777" w:rsidR="00A90DED" w:rsidRDefault="00857A2B">
      <w:pPr>
        <w:pStyle w:val="ListParagraph"/>
        <w:numPr>
          <w:ilvl w:val="0"/>
          <w:numId w:val="2"/>
        </w:numPr>
        <w:tabs>
          <w:tab w:val="left" w:pos="1070"/>
        </w:tabs>
        <w:spacing w:before="10" w:line="271" w:lineRule="auto"/>
        <w:ind w:right="84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preferably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long-time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IP Law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State Bar of Texas.</w:t>
      </w:r>
    </w:p>
    <w:p w14:paraId="0A719C28" w14:textId="77777777" w:rsidR="00A90DED" w:rsidRDefault="00857A2B">
      <w:pPr>
        <w:pStyle w:val="ListParagraph"/>
        <w:numPr>
          <w:ilvl w:val="0"/>
          <w:numId w:val="2"/>
        </w:numPr>
        <w:tabs>
          <w:tab w:val="left" w:pos="1070"/>
        </w:tabs>
        <w:ind w:hanging="3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 shall be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passed away</w:t>
      </w:r>
      <w:r>
        <w:rPr>
          <w:spacing w:val="-3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preceding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0A719C29" w14:textId="77777777" w:rsidR="00A90DED" w:rsidRDefault="00857A2B">
      <w:pPr>
        <w:pStyle w:val="ListParagraph"/>
        <w:numPr>
          <w:ilvl w:val="0"/>
          <w:numId w:val="2"/>
        </w:numPr>
        <w:tabs>
          <w:tab w:val="left" w:pos="1070"/>
        </w:tabs>
        <w:spacing w:before="42"/>
        <w:ind w:hanging="36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annually,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necessarily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0A719C2A" w14:textId="611C33E9" w:rsidR="00A90DED" w:rsidRDefault="00857A2B">
      <w:pPr>
        <w:pStyle w:val="Heading2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nominations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31,</w:t>
      </w:r>
      <w:r>
        <w:rPr>
          <w:spacing w:val="-1"/>
        </w:rPr>
        <w:t xml:space="preserve"> </w:t>
      </w:r>
      <w:proofErr w:type="gramStart"/>
      <w:r>
        <w:t>202</w:t>
      </w:r>
      <w:r w:rsidR="00C72260">
        <w:t>6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C72260">
        <w:t>Stephanie Dowdy</w:t>
      </w:r>
      <w:r>
        <w:rPr>
          <w:spacing w:val="-2"/>
        </w:rPr>
        <w:t xml:space="preserve"> </w:t>
      </w:r>
      <w:r>
        <w:t>at</w:t>
      </w:r>
      <w:r>
        <w:rPr>
          <w:color w:val="0000FF"/>
          <w:spacing w:val="-1"/>
          <w:u w:val="thick" w:color="0000FF"/>
        </w:rPr>
        <w:t xml:space="preserve"> </w:t>
      </w:r>
      <w:hyperlink r:id="rId5" w:history="1">
        <w:r w:rsidR="006B4B9C" w:rsidRPr="00366D36">
          <w:rPr>
            <w:rStyle w:val="Hyperlink"/>
          </w:rPr>
          <w:t>stephanie.dowdy@foley.com</w:t>
        </w:r>
      </w:hyperlink>
      <w:r w:rsidR="006B4B9C">
        <w:t xml:space="preserve"> </w:t>
      </w:r>
    </w:p>
    <w:p w14:paraId="0A719C2B" w14:textId="77777777" w:rsidR="00A90DED" w:rsidRDefault="00A90DED">
      <w:pPr>
        <w:pStyle w:val="BodyText"/>
        <w:ind w:left="0"/>
        <w:rPr>
          <w:b/>
          <w:i/>
          <w:sz w:val="20"/>
        </w:rPr>
      </w:pPr>
    </w:p>
    <w:p w14:paraId="0A719C2C" w14:textId="77777777" w:rsidR="00A90DED" w:rsidRDefault="00857A2B">
      <w:pPr>
        <w:pStyle w:val="BodyText"/>
        <w:spacing w:before="94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19C37" wp14:editId="0A719C38">
                <wp:simplePos x="0" y="0"/>
                <wp:positionH relativeFrom="page">
                  <wp:posOffset>996950</wp:posOffset>
                </wp:positionH>
                <wp:positionV relativeFrom="paragraph">
                  <wp:posOffset>221558</wp:posOffset>
                </wp:positionV>
                <wp:extent cx="5930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EC6F4" id="Graphic 1" o:spid="_x0000_s1026" style="position:absolute;margin-left:78.5pt;margin-top:17.45pt;width:46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" path="m,l59309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A719C2D" w14:textId="77777777" w:rsidR="00A90DED" w:rsidRDefault="00A90DED">
      <w:pPr>
        <w:pStyle w:val="BodyText"/>
        <w:spacing w:before="155"/>
        <w:ind w:left="0"/>
        <w:rPr>
          <w:b/>
          <w:i/>
        </w:rPr>
      </w:pPr>
    </w:p>
    <w:p w14:paraId="0A719C2E" w14:textId="3575AB01" w:rsidR="00A90DED" w:rsidRDefault="00857A2B">
      <w:pPr>
        <w:pStyle w:val="Heading1"/>
        <w:ind w:firstLine="0"/>
        <w:jc w:val="center"/>
        <w:rPr>
          <w:u w:val="none"/>
        </w:rPr>
      </w:pPr>
      <w:bookmarkStart w:id="1" w:name="2021_Nomination_Form"/>
      <w:bookmarkEnd w:id="1"/>
      <w:r>
        <w:rPr>
          <w:u w:val="thick"/>
        </w:rPr>
        <w:t>Nomination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0A719C2F" w14:textId="77777777" w:rsidR="00A90DED" w:rsidRDefault="00A90DED">
      <w:pPr>
        <w:pStyle w:val="BodyText"/>
        <w:spacing w:before="29"/>
        <w:ind w:left="0"/>
        <w:rPr>
          <w:b/>
        </w:rPr>
      </w:pPr>
    </w:p>
    <w:p w14:paraId="0A719C30" w14:textId="77777777" w:rsidR="00A90DED" w:rsidRDefault="00857A2B">
      <w:pPr>
        <w:pStyle w:val="BodyText"/>
      </w:pPr>
      <w:r>
        <w:t>Please</w:t>
      </w:r>
      <w:r>
        <w:rPr>
          <w:spacing w:val="-5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or append additional</w:t>
      </w:r>
      <w:r>
        <w:rPr>
          <w:spacing w:val="-1"/>
        </w:rPr>
        <w:t xml:space="preserve"> </w:t>
      </w:r>
      <w:r>
        <w:t>pages,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14:paraId="0A719C31" w14:textId="77777777" w:rsidR="00A90DED" w:rsidRDefault="00857A2B">
      <w:pPr>
        <w:pStyle w:val="ListParagraph"/>
        <w:numPr>
          <w:ilvl w:val="0"/>
          <w:numId w:val="1"/>
        </w:numPr>
        <w:tabs>
          <w:tab w:val="left" w:pos="1070"/>
        </w:tabs>
        <w:spacing w:before="243"/>
        <w:ind w:hanging="722"/>
        <w:rPr>
          <w:sz w:val="24"/>
        </w:rPr>
      </w:pPr>
      <w:r>
        <w:rPr>
          <w:spacing w:val="-2"/>
          <w:sz w:val="24"/>
        </w:rPr>
        <w:t>Nominee:</w:t>
      </w:r>
    </w:p>
    <w:p w14:paraId="0A719C32" w14:textId="77777777" w:rsidR="00A90DED" w:rsidRDefault="00857A2B">
      <w:pPr>
        <w:pStyle w:val="BodyText"/>
        <w:tabs>
          <w:tab w:val="left" w:pos="5702"/>
        </w:tabs>
        <w:spacing w:before="252"/>
      </w:pPr>
      <w:r>
        <w:rPr>
          <w:spacing w:val="-2"/>
        </w:rPr>
        <w:t xml:space="preserve">Business </w:t>
      </w:r>
      <w:r>
        <w:t>Affiliation: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A719C33" w14:textId="77777777" w:rsidR="00A90DED" w:rsidRDefault="00857A2B">
      <w:pPr>
        <w:pStyle w:val="BodyText"/>
        <w:tabs>
          <w:tab w:val="left" w:pos="5443"/>
          <w:tab w:val="left" w:pos="7262"/>
        </w:tabs>
        <w:ind w:right="2815"/>
      </w:pPr>
      <w:r>
        <w:t xml:space="preserve">Year of Admission to the State Bar of Texas: </w:t>
      </w:r>
      <w:r>
        <w:rPr>
          <w:u w:val="single"/>
        </w:rPr>
        <w:tab/>
      </w:r>
      <w:r>
        <w:t xml:space="preserve"> If deceased, date of death: </w:t>
      </w:r>
      <w:r>
        <w:rPr>
          <w:u w:val="single"/>
        </w:rPr>
        <w:tab/>
      </w:r>
    </w:p>
    <w:p w14:paraId="0A719C34" w14:textId="77777777" w:rsidR="00A90DED" w:rsidRDefault="00A90DED">
      <w:pPr>
        <w:pStyle w:val="BodyText"/>
        <w:spacing w:before="79"/>
        <w:ind w:left="0"/>
      </w:pPr>
    </w:p>
    <w:p w14:paraId="0A719C35" w14:textId="77777777" w:rsidR="00A90DED" w:rsidRDefault="00857A2B">
      <w:pPr>
        <w:pStyle w:val="ListParagraph"/>
        <w:numPr>
          <w:ilvl w:val="0"/>
          <w:numId w:val="1"/>
        </w:numPr>
        <w:tabs>
          <w:tab w:val="left" w:pos="1069"/>
        </w:tabs>
        <w:spacing w:before="0" w:line="276" w:lineRule="auto"/>
        <w:ind w:left="350" w:right="314" w:firstLine="0"/>
        <w:jc w:val="both"/>
        <w:rPr>
          <w:sz w:val="24"/>
        </w:rPr>
      </w:pPr>
      <w:r>
        <w:rPr>
          <w:sz w:val="24"/>
        </w:rPr>
        <w:t xml:space="preserve">Attach а current resume of the Nominee, or list the Nominee’s IP law career accomplishments, positions, professional memberships (including offices held), and IP law </w:t>
      </w:r>
      <w:r>
        <w:rPr>
          <w:spacing w:val="-2"/>
          <w:sz w:val="24"/>
        </w:rPr>
        <w:t>awards.</w:t>
      </w:r>
    </w:p>
    <w:p w14:paraId="0A719C36" w14:textId="77777777" w:rsidR="00A90DED" w:rsidRDefault="00857A2B">
      <w:pPr>
        <w:pStyle w:val="ListParagraph"/>
        <w:numPr>
          <w:ilvl w:val="0"/>
          <w:numId w:val="1"/>
        </w:numPr>
        <w:tabs>
          <w:tab w:val="left" w:pos="1069"/>
        </w:tabs>
        <w:spacing w:before="238" w:line="276" w:lineRule="auto"/>
        <w:ind w:left="350" w:right="311" w:firstLine="0"/>
        <w:jc w:val="both"/>
        <w:rPr>
          <w:sz w:val="24"/>
        </w:rPr>
      </w:pPr>
      <w:r>
        <w:rPr>
          <w:sz w:val="24"/>
        </w:rPr>
        <w:t>Provide a discussion of the impact that the Nominee has had on the intellectual property law practice in Texas and the Nominee’s involvement in the State Bar of Texas IP Law Section.</w:t>
      </w:r>
    </w:p>
    <w:sectPr w:rsidR="00A90DED">
      <w:type w:val="continuous"/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0A02"/>
    <w:multiLevelType w:val="hybridMultilevel"/>
    <w:tmpl w:val="4694FCBE"/>
    <w:lvl w:ilvl="0" w:tplc="BB74011E">
      <w:start w:val="1"/>
      <w:numFmt w:val="decimal"/>
      <w:lvlText w:val="%1."/>
      <w:lvlJc w:val="left"/>
      <w:pPr>
        <w:ind w:left="107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58C2A004">
      <w:numFmt w:val="bullet"/>
      <w:lvlText w:val="•"/>
      <w:lvlJc w:val="left"/>
      <w:pPr>
        <w:ind w:left="1980" w:hanging="723"/>
      </w:pPr>
      <w:rPr>
        <w:rFonts w:hint="default"/>
        <w:lang w:val="en-US" w:eastAsia="en-US" w:bidi="ar-SA"/>
      </w:rPr>
    </w:lvl>
    <w:lvl w:ilvl="2" w:tplc="62BAEDAA">
      <w:numFmt w:val="bullet"/>
      <w:lvlText w:val="•"/>
      <w:lvlJc w:val="left"/>
      <w:pPr>
        <w:ind w:left="2880" w:hanging="723"/>
      </w:pPr>
      <w:rPr>
        <w:rFonts w:hint="default"/>
        <w:lang w:val="en-US" w:eastAsia="en-US" w:bidi="ar-SA"/>
      </w:rPr>
    </w:lvl>
    <w:lvl w:ilvl="3" w:tplc="181434F0">
      <w:numFmt w:val="bullet"/>
      <w:lvlText w:val="•"/>
      <w:lvlJc w:val="left"/>
      <w:pPr>
        <w:ind w:left="3780" w:hanging="723"/>
      </w:pPr>
      <w:rPr>
        <w:rFonts w:hint="default"/>
        <w:lang w:val="en-US" w:eastAsia="en-US" w:bidi="ar-SA"/>
      </w:rPr>
    </w:lvl>
    <w:lvl w:ilvl="4" w:tplc="30CA1688">
      <w:numFmt w:val="bullet"/>
      <w:lvlText w:val="•"/>
      <w:lvlJc w:val="left"/>
      <w:pPr>
        <w:ind w:left="4680" w:hanging="723"/>
      </w:pPr>
      <w:rPr>
        <w:rFonts w:hint="default"/>
        <w:lang w:val="en-US" w:eastAsia="en-US" w:bidi="ar-SA"/>
      </w:rPr>
    </w:lvl>
    <w:lvl w:ilvl="5" w:tplc="C02E5AD2">
      <w:numFmt w:val="bullet"/>
      <w:lvlText w:val="•"/>
      <w:lvlJc w:val="left"/>
      <w:pPr>
        <w:ind w:left="5580" w:hanging="723"/>
      </w:pPr>
      <w:rPr>
        <w:rFonts w:hint="default"/>
        <w:lang w:val="en-US" w:eastAsia="en-US" w:bidi="ar-SA"/>
      </w:rPr>
    </w:lvl>
    <w:lvl w:ilvl="6" w:tplc="BE1E0D2C">
      <w:numFmt w:val="bullet"/>
      <w:lvlText w:val="•"/>
      <w:lvlJc w:val="left"/>
      <w:pPr>
        <w:ind w:left="6480" w:hanging="723"/>
      </w:pPr>
      <w:rPr>
        <w:rFonts w:hint="default"/>
        <w:lang w:val="en-US" w:eastAsia="en-US" w:bidi="ar-SA"/>
      </w:rPr>
    </w:lvl>
    <w:lvl w:ilvl="7" w:tplc="B6EAC664">
      <w:numFmt w:val="bullet"/>
      <w:lvlText w:val="•"/>
      <w:lvlJc w:val="left"/>
      <w:pPr>
        <w:ind w:left="7380" w:hanging="723"/>
      </w:pPr>
      <w:rPr>
        <w:rFonts w:hint="default"/>
        <w:lang w:val="en-US" w:eastAsia="en-US" w:bidi="ar-SA"/>
      </w:rPr>
    </w:lvl>
    <w:lvl w:ilvl="8" w:tplc="80CA3CCE">
      <w:numFmt w:val="bullet"/>
      <w:lvlText w:val="•"/>
      <w:lvlJc w:val="left"/>
      <w:pPr>
        <w:ind w:left="8280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554D4174"/>
    <w:multiLevelType w:val="hybridMultilevel"/>
    <w:tmpl w:val="A21E09DC"/>
    <w:lvl w:ilvl="0" w:tplc="B796A3E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609AE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942D99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22A0AF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4C4B39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8D885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C74099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E56667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482E18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758407862">
    <w:abstractNumId w:val="0"/>
  </w:num>
  <w:num w:numId="2" w16cid:durableId="181364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DED"/>
    <w:rsid w:val="006B4B9C"/>
    <w:rsid w:val="006F7C73"/>
    <w:rsid w:val="00857A2B"/>
    <w:rsid w:val="00A90DED"/>
    <w:rsid w:val="00C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9C22"/>
  <w15:docId w15:val="{807273E6-05CB-438A-A55E-1317EDB0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 w:hanging="55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6"/>
      <w:ind w:left="35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10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4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.dowdy@fol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febecd1-b635-4bb7-96fd-6688487e52f1}" enabled="0" method="" siteId="{4febecd1-b635-4bb7-96fd-6688487e52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1308</Characters>
  <Application>Microsoft Office Word</Application>
  <DocSecurity>0</DocSecurity>
  <Lines>32</Lines>
  <Paragraphs>18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Stone, Craig (LDZX)</cp:lastModifiedBy>
  <cp:revision>2</cp:revision>
  <dcterms:created xsi:type="dcterms:W3CDTF">2026-02-03T16:24:00Z</dcterms:created>
  <dcterms:modified xsi:type="dcterms:W3CDTF">2026-02-03T16:24:00Z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D:20210215154300</vt:lpwstr>
  </property>
</Properties>
</file>